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15BF" w14:textId="77777777" w:rsidR="00F62D58" w:rsidRDefault="00F62D5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Los informes que presentan los Señores Notarios a la Superintendencia de Notariado y Registro son: </w:t>
      </w:r>
    </w:p>
    <w:p w14:paraId="1AD2A7E1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Informe Estadistico Notarial, cuya información financiera y contable es reservada. </w:t>
      </w:r>
    </w:p>
    <w:p w14:paraId="0E167B8D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Artículo 61 del Código de Comercio. </w:t>
      </w:r>
    </w:p>
    <w:p w14:paraId="69147F0F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El informe estadistico que remiten mensualmente las Notarías a la SNR a través de los correos habilitados para ello, según la Instrucción Administrativa 4 de 2019. </w:t>
      </w:r>
    </w:p>
    <w:p w14:paraId="72964941" w14:textId="77777777" w:rsidR="00F62D58" w:rsidRDefault="00F62D58" w:rsidP="00F62D58">
      <w:pPr>
        <w:rPr>
          <w:color w:val="000000"/>
          <w:sz w:val="27"/>
          <w:szCs w:val="27"/>
        </w:rPr>
      </w:pPr>
      <w:r w:rsidRPr="00F62D58">
        <w:rPr>
          <w:color w:val="000000"/>
          <w:sz w:val="27"/>
          <w:szCs w:val="27"/>
        </w:rPr>
        <w:t xml:space="preserve">Los informes que rinden los Señores Notarios a la UIAF son: </w:t>
      </w:r>
    </w:p>
    <w:p w14:paraId="37972FD6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Reporte de Operación Notarial (RON). </w:t>
      </w:r>
    </w:p>
    <w:p w14:paraId="763114AA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Reporte de Operaciones intentadas y operaciones sospechosas ROS. </w:t>
      </w:r>
    </w:p>
    <w:p w14:paraId="220C9C83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Reporte de ausencia de operaciones sospechosos </w:t>
      </w:r>
    </w:p>
    <w:p w14:paraId="3638E467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Reporte de transacciones en efectivo. </w:t>
      </w:r>
    </w:p>
    <w:p w14:paraId="54D66E4C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Reporte de ausencia de transacciones en efectivo. </w:t>
      </w:r>
    </w:p>
    <w:p w14:paraId="0978755C" w14:textId="77777777" w:rsidR="00F62D58" w:rsidRPr="00F62D58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 xml:space="preserve">Reporte de adjudicaciones en remate. </w:t>
      </w:r>
    </w:p>
    <w:p w14:paraId="09ACE36E" w14:textId="77777777" w:rsidR="00F62D58" w:rsidRPr="00F62D58" w:rsidRDefault="00F62D58" w:rsidP="00F62D58">
      <w:pPr>
        <w:pStyle w:val="Prrafodelista"/>
      </w:pPr>
    </w:p>
    <w:p w14:paraId="5825DF1D" w14:textId="77777777" w:rsidR="00F62D58" w:rsidRDefault="00F62D58" w:rsidP="00F62D58">
      <w:pPr>
        <w:rPr>
          <w:color w:val="000000"/>
          <w:sz w:val="27"/>
          <w:szCs w:val="27"/>
        </w:rPr>
      </w:pPr>
      <w:r w:rsidRPr="00F62D58">
        <w:rPr>
          <w:color w:val="000000"/>
          <w:sz w:val="27"/>
          <w:szCs w:val="27"/>
        </w:rPr>
        <w:t xml:space="preserve">Los informes que allegan los Señores Notarios a la DIAN son: </w:t>
      </w:r>
    </w:p>
    <w:p w14:paraId="2F8CF943" w14:textId="0CA684E0" w:rsidR="00D1141F" w:rsidRDefault="00F62D58" w:rsidP="00F62D58">
      <w:pPr>
        <w:pStyle w:val="Prrafodelista"/>
        <w:numPr>
          <w:ilvl w:val="0"/>
          <w:numId w:val="1"/>
        </w:numPr>
      </w:pPr>
      <w:r w:rsidRPr="00F62D58">
        <w:rPr>
          <w:color w:val="000000"/>
          <w:sz w:val="27"/>
          <w:szCs w:val="27"/>
        </w:rPr>
        <w:t>Información exogena.</w:t>
      </w:r>
    </w:p>
    <w:sectPr w:rsidR="00D1141F" w:rsidSect="0050071D">
      <w:type w:val="continuous"/>
      <w:pgSz w:w="12240" w:h="15840" w:code="1"/>
      <w:pgMar w:top="940" w:right="697" w:bottom="28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849A8"/>
    <w:multiLevelType w:val="hybridMultilevel"/>
    <w:tmpl w:val="D99A7BFE"/>
    <w:lvl w:ilvl="0" w:tplc="6E3A1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7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73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59"/>
    <w:rsid w:val="00420859"/>
    <w:rsid w:val="0050071D"/>
    <w:rsid w:val="00D1141F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55F8"/>
  <w15:chartTrackingRefBased/>
  <w15:docId w15:val="{328BE3D6-3929-40EE-94AA-605A637A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Araujo</dc:creator>
  <cp:keywords/>
  <dc:description/>
  <cp:lastModifiedBy>Sindy Araujo</cp:lastModifiedBy>
  <cp:revision>2</cp:revision>
  <dcterms:created xsi:type="dcterms:W3CDTF">2022-09-27T16:39:00Z</dcterms:created>
  <dcterms:modified xsi:type="dcterms:W3CDTF">2022-09-27T16:40:00Z</dcterms:modified>
</cp:coreProperties>
</file>